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A6771C" w:rsidRPr="00B15B24" w:rsidTr="00A6771C">
        <w:tc>
          <w:tcPr>
            <w:tcW w:w="4428" w:type="dxa"/>
          </w:tcPr>
          <w:p w:rsidR="00A6771C" w:rsidRPr="00B15B24" w:rsidRDefault="00A6771C" w:rsidP="00A6771C">
            <w:pPr>
              <w:ind w:left="851" w:hanging="851"/>
            </w:pPr>
            <w:r w:rsidRPr="00B15B24">
              <w:t>From:</w:t>
            </w:r>
            <w:r w:rsidRPr="00B15B24">
              <w:tab/>
            </w:r>
            <w:r>
              <w:t xml:space="preserve">e-NAV </w:t>
            </w:r>
            <w:r w:rsidRPr="00CF1FDF">
              <w:t>Committee</w:t>
            </w:r>
            <w:r w:rsidR="00C16591">
              <w:t>, vice chair</w:t>
            </w:r>
          </w:p>
        </w:tc>
        <w:tc>
          <w:tcPr>
            <w:tcW w:w="5461" w:type="dxa"/>
          </w:tcPr>
          <w:p w:rsidR="00CD2A77" w:rsidRDefault="00CD2A77" w:rsidP="00A6771C">
            <w:pPr>
              <w:jc w:val="right"/>
            </w:pPr>
            <w:r>
              <w:t>PAP2</w:t>
            </w:r>
            <w:r w:rsidR="00C16591">
              <w:t>6</w:t>
            </w:r>
            <w:r w:rsidR="003043EF">
              <w:t>-10.5.2</w:t>
            </w:r>
            <w:bookmarkStart w:id="0" w:name="_GoBack"/>
            <w:bookmarkEnd w:id="0"/>
          </w:p>
          <w:p w:rsidR="00A6771C" w:rsidRPr="00B15B24" w:rsidRDefault="00A6771C" w:rsidP="00A6771C">
            <w:pPr>
              <w:jc w:val="right"/>
              <w:rPr>
                <w:highlight w:val="yellow"/>
              </w:rPr>
            </w:pPr>
          </w:p>
        </w:tc>
      </w:tr>
      <w:tr w:rsidR="00A6771C" w:rsidRPr="00B15B24" w:rsidTr="00A6771C">
        <w:tc>
          <w:tcPr>
            <w:tcW w:w="4428" w:type="dxa"/>
          </w:tcPr>
          <w:p w:rsidR="00A6771C" w:rsidRPr="00B15B24" w:rsidRDefault="00A6771C" w:rsidP="00A6771C">
            <w:pPr>
              <w:ind w:left="851" w:hanging="851"/>
            </w:pPr>
            <w:r w:rsidRPr="00B15B24">
              <w:t>To:</w:t>
            </w:r>
            <w:r w:rsidRPr="00B15B24">
              <w:tab/>
            </w:r>
            <w:r>
              <w:t>PAP</w:t>
            </w:r>
          </w:p>
        </w:tc>
        <w:tc>
          <w:tcPr>
            <w:tcW w:w="5461" w:type="dxa"/>
          </w:tcPr>
          <w:p w:rsidR="00A6771C" w:rsidRPr="00B15B24" w:rsidRDefault="00EC68A1" w:rsidP="00C16591">
            <w:pPr>
              <w:jc w:val="right"/>
            </w:pPr>
            <w:r>
              <w:t>22</w:t>
            </w:r>
            <w:r w:rsidR="00A6771C" w:rsidRPr="00CF1FDF">
              <w:t xml:space="preserve"> </w:t>
            </w:r>
            <w:r w:rsidR="00C16591">
              <w:t>October</w:t>
            </w:r>
            <w:r w:rsidR="00A6771C" w:rsidRPr="00B15B24">
              <w:t xml:space="preserve"> 20</w:t>
            </w:r>
            <w:r w:rsidR="00A6771C">
              <w:t>13</w:t>
            </w:r>
          </w:p>
        </w:tc>
      </w:tr>
      <w:tr w:rsidR="00A6771C" w:rsidRPr="00B15B24" w:rsidTr="00A6771C">
        <w:tc>
          <w:tcPr>
            <w:tcW w:w="4428" w:type="dxa"/>
          </w:tcPr>
          <w:p w:rsidR="00A6771C" w:rsidRPr="00B15B24" w:rsidRDefault="00A6771C" w:rsidP="00A6771C">
            <w:pPr>
              <w:tabs>
                <w:tab w:val="left" w:pos="851"/>
              </w:tabs>
            </w:pPr>
          </w:p>
        </w:tc>
        <w:tc>
          <w:tcPr>
            <w:tcW w:w="5461" w:type="dxa"/>
          </w:tcPr>
          <w:p w:rsidR="00A6771C" w:rsidRPr="00CF1FDF" w:rsidRDefault="00A6771C" w:rsidP="00A6771C">
            <w:pPr>
              <w:jc w:val="right"/>
            </w:pPr>
          </w:p>
        </w:tc>
      </w:tr>
    </w:tbl>
    <w:p w:rsidR="00362CD9" w:rsidRDefault="00362CD9" w:rsidP="00360762">
      <w:pPr>
        <w:pStyle w:val="BodyText"/>
        <w:tabs>
          <w:tab w:val="left" w:pos="2835"/>
        </w:tabs>
      </w:pPr>
    </w:p>
    <w:p w:rsidR="00F11ECA" w:rsidRDefault="00D11E10" w:rsidP="00F11ECA">
      <w:pPr>
        <w:spacing w:after="200" w:line="276" w:lineRule="auto"/>
        <w:jc w:val="center"/>
        <w:rPr>
          <w:b/>
          <w:sz w:val="32"/>
          <w:szCs w:val="32"/>
        </w:rPr>
      </w:pPr>
      <w:proofErr w:type="gramStart"/>
      <w:r>
        <w:rPr>
          <w:b/>
          <w:sz w:val="32"/>
          <w:szCs w:val="32"/>
        </w:rPr>
        <w:t>e-NAV</w:t>
      </w:r>
      <w:proofErr w:type="gramEnd"/>
      <w:r>
        <w:rPr>
          <w:b/>
          <w:sz w:val="32"/>
          <w:szCs w:val="32"/>
        </w:rPr>
        <w:t xml:space="preserve"> Committee</w:t>
      </w:r>
    </w:p>
    <w:p w:rsidR="00D11E10" w:rsidRPr="00F11ECA" w:rsidRDefault="00D11E10" w:rsidP="00F11ECA">
      <w:pPr>
        <w:spacing w:after="200" w:line="276" w:lineRule="auto"/>
        <w:jc w:val="center"/>
        <w:rPr>
          <w:b/>
          <w:sz w:val="32"/>
          <w:szCs w:val="32"/>
        </w:rPr>
      </w:pPr>
      <w:r>
        <w:rPr>
          <w:b/>
          <w:sz w:val="32"/>
          <w:szCs w:val="32"/>
        </w:rPr>
        <w:t>2014-18 Work Program and Structure</w:t>
      </w:r>
    </w:p>
    <w:p w:rsidR="00F11ECA" w:rsidRDefault="00F11ECA" w:rsidP="00A446C9">
      <w:pPr>
        <w:pStyle w:val="Title"/>
      </w:pPr>
    </w:p>
    <w:p w:rsidR="00A446C9" w:rsidRDefault="00A446C9" w:rsidP="00A446C9">
      <w:pPr>
        <w:pStyle w:val="Heading1"/>
      </w:pPr>
      <w:r>
        <w:t>Summary</w:t>
      </w:r>
    </w:p>
    <w:p w:rsidR="00F11ECA" w:rsidRDefault="00EC4B3B" w:rsidP="00F11ECA">
      <w:pPr>
        <w:pStyle w:val="Heading2"/>
      </w:pPr>
      <w:bookmarkStart w:id="1" w:name="_Toc212347457"/>
      <w:r>
        <w:t>Purpose</w:t>
      </w:r>
      <w:bookmarkEnd w:id="1"/>
    </w:p>
    <w:p w:rsidR="00D11E10" w:rsidRDefault="00F11ECA" w:rsidP="00F11ECA">
      <w:r>
        <w:t>Th</w:t>
      </w:r>
      <w:r w:rsidR="00D11E10">
        <w:t>is paper sets out a proposed Work Program for the committee dealing with e-Navigation in the period 2014-18. It also provides a proposed working group structure and potential workshop topics for each group.</w:t>
      </w:r>
    </w:p>
    <w:p w:rsidR="00D11E10" w:rsidRDefault="00D11E10" w:rsidP="00F11ECA"/>
    <w:p w:rsidR="00A446C9" w:rsidRDefault="00A446C9" w:rsidP="00EC4B3B">
      <w:pPr>
        <w:pStyle w:val="Heading2"/>
      </w:pPr>
      <w:r>
        <w:t>Background</w:t>
      </w:r>
    </w:p>
    <w:p w:rsidR="00EC4B3B" w:rsidRPr="00F11ECA" w:rsidRDefault="00D11E10" w:rsidP="00F11ECA">
      <w:pPr>
        <w:pStyle w:val="BodyText"/>
        <w:rPr>
          <w:lang w:eastAsia="de-DE"/>
        </w:rPr>
      </w:pPr>
      <w:r>
        <w:rPr>
          <w:lang w:eastAsia="de-DE"/>
        </w:rPr>
        <w:t>The draft IALA strategy documents presented to PAP 26 for consideration have been taken into account, together with the proposed 2014-18 Work Program agreed at e-NAV 14. Correspondence between the present chair and vice chair of e-NAV and the DSG has informed the proposals on structure.</w:t>
      </w:r>
    </w:p>
    <w:p w:rsidR="00D103A9" w:rsidRDefault="00EC4B3B" w:rsidP="004E3635">
      <w:pPr>
        <w:pStyle w:val="Heading1"/>
        <w:numPr>
          <w:ilvl w:val="0"/>
          <w:numId w:val="0"/>
        </w:numPr>
      </w:pPr>
      <w:r>
        <w:t>2</w:t>
      </w:r>
      <w:r w:rsidR="004E3635">
        <w:tab/>
      </w:r>
      <w:r w:rsidR="00D103A9">
        <w:t>ACTION REQUESTED</w:t>
      </w:r>
    </w:p>
    <w:p w:rsidR="00D103A9" w:rsidRDefault="00D103A9" w:rsidP="00D103A9">
      <w:pPr>
        <w:pStyle w:val="BodyText"/>
        <w:rPr>
          <w:lang w:eastAsia="de-DE"/>
        </w:rPr>
      </w:pPr>
      <w:r>
        <w:rPr>
          <w:lang w:eastAsia="de-DE"/>
        </w:rPr>
        <w:t xml:space="preserve">The Policy Advisory Panel is invited to </w:t>
      </w:r>
      <w:r w:rsidR="00EC4B3B">
        <w:rPr>
          <w:lang w:eastAsia="de-DE"/>
        </w:rPr>
        <w:t>consider th</w:t>
      </w:r>
      <w:r w:rsidR="00D11E10">
        <w:rPr>
          <w:lang w:eastAsia="de-DE"/>
        </w:rPr>
        <w:t>ese proposals fo</w:t>
      </w:r>
      <w:r w:rsidR="00EC4B3B">
        <w:rPr>
          <w:lang w:eastAsia="de-DE"/>
        </w:rPr>
        <w:t xml:space="preserve">r </w:t>
      </w:r>
      <w:r w:rsidR="00D11E10">
        <w:rPr>
          <w:lang w:eastAsia="de-DE"/>
        </w:rPr>
        <w:t>possible submission to Council</w:t>
      </w:r>
      <w:r>
        <w:rPr>
          <w:lang w:eastAsia="de-DE"/>
        </w:rPr>
        <w:t>.</w:t>
      </w:r>
    </w:p>
    <w:p w:rsidR="00A37A82" w:rsidRDefault="00A37A82">
      <w:pPr>
        <w:rPr>
          <w:lang w:eastAsia="de-DE"/>
        </w:rPr>
      </w:pPr>
      <w:r>
        <w:rPr>
          <w:lang w:eastAsia="de-DE"/>
        </w:rPr>
        <w:br w:type="page"/>
      </w:r>
    </w:p>
    <w:p w:rsidR="00A37A82" w:rsidRDefault="00D11E10" w:rsidP="00A37A82">
      <w:pPr>
        <w:pStyle w:val="BodyText"/>
        <w:jc w:val="center"/>
        <w:rPr>
          <w:b/>
          <w:lang w:eastAsia="de-DE"/>
        </w:rPr>
      </w:pPr>
      <w:proofErr w:type="gramStart"/>
      <w:r>
        <w:rPr>
          <w:b/>
          <w:lang w:eastAsia="de-DE"/>
        </w:rPr>
        <w:lastRenderedPageBreak/>
        <w:t>e-Navigation</w:t>
      </w:r>
      <w:proofErr w:type="gramEnd"/>
      <w:r>
        <w:rPr>
          <w:b/>
          <w:lang w:eastAsia="de-DE"/>
        </w:rPr>
        <w:t xml:space="preserve"> – Proposed Work Program and Committee Structure, 2014-18</w:t>
      </w:r>
    </w:p>
    <w:p w:rsidR="00A37A82" w:rsidRDefault="00A37A82" w:rsidP="00A37A82">
      <w:pPr>
        <w:pStyle w:val="BodyText"/>
        <w:rPr>
          <w:b/>
          <w:lang w:eastAsia="de-DE"/>
        </w:rPr>
      </w:pPr>
    </w:p>
    <w:p w:rsidR="00A37A82" w:rsidRDefault="00A62F54" w:rsidP="00A37A82">
      <w:pPr>
        <w:pStyle w:val="BodyText"/>
        <w:rPr>
          <w:b/>
          <w:lang w:eastAsia="de-DE"/>
        </w:rPr>
      </w:pPr>
      <w:r>
        <w:rPr>
          <w:b/>
          <w:lang w:eastAsia="de-DE"/>
        </w:rPr>
        <w:t>Strategy</w:t>
      </w:r>
    </w:p>
    <w:p w:rsidR="00A62F54" w:rsidRDefault="00D11E10" w:rsidP="00A37A82">
      <w:pPr>
        <w:pStyle w:val="BodyText"/>
        <w:rPr>
          <w:lang w:eastAsia="de-DE"/>
        </w:rPr>
      </w:pPr>
      <w:r>
        <w:rPr>
          <w:lang w:eastAsia="de-DE"/>
        </w:rPr>
        <w:t xml:space="preserve">The IALA </w:t>
      </w:r>
      <w:r w:rsidRPr="00D11E10">
        <w:rPr>
          <w:lang w:eastAsia="de-DE"/>
        </w:rPr>
        <w:t>Strategy</w:t>
      </w:r>
      <w:r>
        <w:rPr>
          <w:lang w:eastAsia="de-DE"/>
        </w:rPr>
        <w:t xml:space="preserve"> 2014-26 submitted to PAP 26</w:t>
      </w:r>
      <w:r w:rsidR="00A62F54">
        <w:rPr>
          <w:lang w:eastAsia="de-DE"/>
        </w:rPr>
        <w:t xml:space="preserve"> includes the following elements:</w:t>
      </w:r>
    </w:p>
    <w:p w:rsidR="00A62F54" w:rsidRPr="00A62F54" w:rsidRDefault="00A62F54" w:rsidP="00A62F54">
      <w:pPr>
        <w:jc w:val="both"/>
        <w:rPr>
          <w:rFonts w:eastAsia="Times New Roman" w:cs="Arial"/>
          <w:color w:val="000000"/>
        </w:rPr>
      </w:pPr>
      <w:r w:rsidRPr="00A62F54">
        <w:rPr>
          <w:rFonts w:eastAsia="Times New Roman" w:cs="Arial"/>
          <w:color w:val="000000"/>
        </w:rPr>
        <w:t>‘Harmonise the information structure, Maritime Service Portfolios, and communications for e-Navigation by creating IALA Standards and by cooperation with other IGOs, to achieve worldwide interoperability of shore and ship systems’ and</w:t>
      </w:r>
    </w:p>
    <w:p w:rsidR="00A62F54" w:rsidRPr="00A62F54" w:rsidRDefault="00A62F54" w:rsidP="00A62F54">
      <w:pPr>
        <w:jc w:val="both"/>
        <w:rPr>
          <w:rFonts w:eastAsia="Times New Roman" w:cs="Arial"/>
          <w:color w:val="000000"/>
        </w:rPr>
      </w:pPr>
      <w:r w:rsidRPr="00A62F54">
        <w:rPr>
          <w:rFonts w:eastAsia="Times New Roman" w:cs="Arial"/>
          <w:color w:val="000000"/>
        </w:rPr>
        <w:t>‘Complete the development of Standards for future sea navigation services to assist the mariner and increase safety and efficiency in congested waters.’</w:t>
      </w:r>
    </w:p>
    <w:p w:rsidR="00A62F54" w:rsidRPr="00A62F54" w:rsidRDefault="00A62F54" w:rsidP="00A62F54">
      <w:pPr>
        <w:jc w:val="both"/>
        <w:rPr>
          <w:rFonts w:ascii="Calibri" w:eastAsia="Times New Roman" w:hAnsi="Calibri"/>
          <w:color w:val="000000"/>
        </w:rPr>
      </w:pPr>
    </w:p>
    <w:p w:rsidR="00D11E10" w:rsidRDefault="00D11E10" w:rsidP="00A37A82">
      <w:pPr>
        <w:pStyle w:val="BodyText"/>
        <w:rPr>
          <w:lang w:eastAsia="de-DE"/>
        </w:rPr>
      </w:pPr>
      <w:r w:rsidRPr="00D11E10">
        <w:rPr>
          <w:lang w:eastAsia="de-DE"/>
        </w:rPr>
        <w:t xml:space="preserve"> </w:t>
      </w:r>
      <w:r w:rsidR="00A62F54">
        <w:rPr>
          <w:lang w:eastAsia="de-DE"/>
        </w:rPr>
        <w:t>The 4 year strategies include:</w:t>
      </w:r>
    </w:p>
    <w:p w:rsidR="00A62F54" w:rsidRPr="00A62F54" w:rsidRDefault="00A62F54" w:rsidP="00A62F54">
      <w:pPr>
        <w:jc w:val="both"/>
        <w:rPr>
          <w:rFonts w:eastAsia="Times New Roman" w:cs="Arial"/>
          <w:color w:val="000000"/>
        </w:rPr>
      </w:pPr>
      <w:r w:rsidRPr="00A62F54">
        <w:rPr>
          <w:rFonts w:eastAsia="Times New Roman" w:cs="Arial"/>
          <w:color w:val="000000"/>
        </w:rPr>
        <w:t>4G1-S2. Lay the groundwork for  interoperability of shore and ship systems in e-Navigation data and communications by creating Standards for VDES, MSP, and resilient PNT, including their acceptance by IMO and ITU, and  commence the process of populating the IALA Domain in the IHO S-100 Register.</w:t>
      </w:r>
    </w:p>
    <w:p w:rsidR="00A62F54" w:rsidRPr="00A62F54" w:rsidRDefault="00A62F54" w:rsidP="00A62F54">
      <w:pPr>
        <w:jc w:val="both"/>
        <w:rPr>
          <w:rFonts w:eastAsia="Times New Roman" w:cs="Arial"/>
          <w:color w:val="000000"/>
        </w:rPr>
      </w:pPr>
    </w:p>
    <w:p w:rsidR="00A62F54" w:rsidRPr="00A62F54" w:rsidRDefault="00A62F54" w:rsidP="00A62F54">
      <w:pPr>
        <w:jc w:val="both"/>
        <w:rPr>
          <w:rFonts w:eastAsia="Times New Roman" w:cs="Arial"/>
          <w:color w:val="000000"/>
        </w:rPr>
      </w:pPr>
      <w:r w:rsidRPr="00A62F54">
        <w:rPr>
          <w:rFonts w:eastAsia="Times New Roman" w:cs="Arial"/>
          <w:color w:val="000000"/>
        </w:rPr>
        <w:t>4G1-S3. Have two demonstrators for future Sea Navigation Services in operation in member states, and have initiated work on technical standards and operating procedures for national or regional use.</w:t>
      </w:r>
    </w:p>
    <w:p w:rsidR="00A62F54" w:rsidRPr="00A62F54" w:rsidRDefault="00A62F54" w:rsidP="00A62F54">
      <w:pPr>
        <w:jc w:val="both"/>
        <w:rPr>
          <w:rFonts w:ascii="Calibri" w:eastAsia="Times New Roman" w:hAnsi="Calibri"/>
          <w:color w:val="000000"/>
        </w:rPr>
      </w:pPr>
    </w:p>
    <w:p w:rsidR="00A62F54" w:rsidRDefault="00A62F54" w:rsidP="00A37A82">
      <w:pPr>
        <w:pStyle w:val="BodyText"/>
        <w:rPr>
          <w:b/>
          <w:lang w:eastAsia="de-DE"/>
        </w:rPr>
      </w:pPr>
      <w:r w:rsidRPr="00A62F54">
        <w:rPr>
          <w:b/>
          <w:lang w:eastAsia="de-DE"/>
        </w:rPr>
        <w:t>2014-18 Work Program</w:t>
      </w:r>
    </w:p>
    <w:p w:rsidR="00A62F54" w:rsidRDefault="00A62F54" w:rsidP="00A37A82">
      <w:pPr>
        <w:pStyle w:val="BodyText"/>
        <w:rPr>
          <w:lang w:eastAsia="de-DE"/>
        </w:rPr>
      </w:pPr>
      <w:r w:rsidRPr="00A62F54">
        <w:rPr>
          <w:lang w:eastAsia="de-DE"/>
        </w:rPr>
        <w:t>The proposed Work Program agreed at e-NAV 14 is summarised below.</w:t>
      </w:r>
    </w:p>
    <w:tbl>
      <w:tblPr>
        <w:tblStyle w:val="TableGrid"/>
        <w:tblW w:w="9412" w:type="dxa"/>
        <w:tblLook w:val="04A0" w:firstRow="1" w:lastRow="0" w:firstColumn="1" w:lastColumn="0" w:noHBand="0" w:noVBand="1"/>
      </w:tblPr>
      <w:tblGrid>
        <w:gridCol w:w="3378"/>
        <w:gridCol w:w="6476"/>
      </w:tblGrid>
      <w:tr w:rsidR="000336D8" w:rsidRPr="000336D8" w:rsidTr="000336D8">
        <w:trPr>
          <w:trHeight w:val="765"/>
        </w:trPr>
        <w:tc>
          <w:tcPr>
            <w:tcW w:w="3660" w:type="dxa"/>
            <w:noWrap/>
            <w:hideMark/>
          </w:tcPr>
          <w:p w:rsidR="000336D8" w:rsidRPr="000336D8" w:rsidRDefault="000336D8" w:rsidP="000336D8">
            <w:pPr>
              <w:rPr>
                <w:rFonts w:ascii="Calibri" w:eastAsia="Times New Roman" w:hAnsi="Calibri"/>
                <w:b/>
                <w:bCs/>
                <w:sz w:val="20"/>
                <w:szCs w:val="20"/>
              </w:rPr>
            </w:pPr>
            <w:r>
              <w:rPr>
                <w:rFonts w:ascii="Calibri" w:eastAsia="Times New Roman" w:hAnsi="Calibri"/>
                <w:b/>
                <w:bCs/>
                <w:sz w:val="20"/>
                <w:szCs w:val="20"/>
              </w:rPr>
              <w:t>Topic</w:t>
            </w:r>
          </w:p>
        </w:tc>
        <w:tc>
          <w:tcPr>
            <w:tcW w:w="5752" w:type="dxa"/>
          </w:tcPr>
          <w:p w:rsidR="000336D8" w:rsidRPr="000336D8" w:rsidRDefault="000336D8" w:rsidP="000336D8">
            <w:pPr>
              <w:rPr>
                <w:rFonts w:ascii="Calibri" w:eastAsia="Times New Roman" w:hAnsi="Calibri"/>
                <w:b/>
                <w:bCs/>
                <w:sz w:val="20"/>
                <w:szCs w:val="20"/>
              </w:rPr>
            </w:pPr>
            <w:r>
              <w:rPr>
                <w:rFonts w:ascii="Calibri" w:eastAsia="Times New Roman" w:hAnsi="Calibri"/>
                <w:b/>
                <w:bCs/>
                <w:sz w:val="20"/>
                <w:szCs w:val="20"/>
              </w:rPr>
              <w:t>Comments</w:t>
            </w:r>
          </w:p>
        </w:tc>
      </w:tr>
      <w:tr w:rsidR="000336D8" w:rsidRPr="000336D8" w:rsidTr="000336D8">
        <w:trPr>
          <w:trHeight w:val="76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1. e-Navigation Implementation</w:t>
            </w:r>
          </w:p>
        </w:tc>
        <w:tc>
          <w:tcPr>
            <w:tcW w:w="5752" w:type="dxa"/>
          </w:tcPr>
          <w:tbl>
            <w:tblPr>
              <w:tblW w:w="6800" w:type="dxa"/>
              <w:tblLook w:val="04A0" w:firstRow="1" w:lastRow="0" w:firstColumn="1" w:lastColumn="0" w:noHBand="0" w:noVBand="1"/>
            </w:tblPr>
            <w:tblGrid>
              <w:gridCol w:w="6800"/>
            </w:tblGrid>
            <w:tr w:rsidR="000336D8" w:rsidRPr="000336D8" w:rsidTr="000336D8">
              <w:trPr>
                <w:trHeight w:val="765"/>
              </w:trPr>
              <w:tc>
                <w:tcPr>
                  <w:tcW w:w="6800" w:type="dxa"/>
                  <w:tcBorders>
                    <w:top w:val="nil"/>
                    <w:left w:val="nil"/>
                    <w:bottom w:val="nil"/>
                    <w:right w:val="nil"/>
                  </w:tcBorders>
                  <w:shd w:val="clear" w:color="auto" w:fill="auto"/>
                  <w:vAlign w:val="center"/>
                  <w:hideMark/>
                </w:tcPr>
                <w:p w:rsidR="000336D8" w:rsidRPr="000336D8" w:rsidRDefault="000336D8" w:rsidP="000336D8">
                  <w:pPr>
                    <w:rPr>
                      <w:rFonts w:ascii="Calibri" w:eastAsia="Times New Roman" w:hAnsi="Calibri"/>
                      <w:sz w:val="20"/>
                      <w:szCs w:val="20"/>
                    </w:rPr>
                  </w:pPr>
                  <w:r w:rsidRPr="000336D8">
                    <w:rPr>
                      <w:rFonts w:ascii="Calibri" w:eastAsia="Times New Roman" w:hAnsi="Calibri"/>
                      <w:sz w:val="20"/>
                      <w:szCs w:val="20"/>
                    </w:rPr>
                    <w:t xml:space="preserve">During the 2014-18 work </w:t>
                  </w:r>
                  <w:proofErr w:type="gramStart"/>
                  <w:r w:rsidRPr="000336D8">
                    <w:rPr>
                      <w:rFonts w:ascii="Calibri" w:eastAsia="Times New Roman" w:hAnsi="Calibri"/>
                      <w:sz w:val="20"/>
                      <w:szCs w:val="20"/>
                    </w:rPr>
                    <w:t>program</w:t>
                  </w:r>
                  <w:proofErr w:type="gramEnd"/>
                  <w:r w:rsidRPr="000336D8">
                    <w:rPr>
                      <w:rFonts w:ascii="Calibri" w:eastAsia="Times New Roman" w:hAnsi="Calibri"/>
                      <w:sz w:val="20"/>
                      <w:szCs w:val="20"/>
                    </w:rPr>
                    <w:t xml:space="preserve"> IMO is expected to make key decisions on e-Navigation. IALA documentation needs to be updated to reflect what is actually going to happen as opposed to what may happen or is possible.</w:t>
                  </w:r>
                </w:p>
              </w:tc>
            </w:tr>
          </w:tbl>
          <w:p w:rsidR="000336D8" w:rsidRPr="000336D8" w:rsidRDefault="000336D8" w:rsidP="000336D8">
            <w:pPr>
              <w:rPr>
                <w:rFonts w:ascii="Calibri" w:eastAsia="Times New Roman" w:hAnsi="Calibri"/>
                <w:b/>
                <w:bCs/>
                <w:sz w:val="20"/>
                <w:szCs w:val="20"/>
              </w:rPr>
            </w:pP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2. Overarching architecture</w:t>
            </w:r>
          </w:p>
        </w:tc>
        <w:tc>
          <w:tcPr>
            <w:tcW w:w="5752" w:type="dxa"/>
          </w:tcPr>
          <w:p w:rsidR="000336D8" w:rsidRPr="000336D8" w:rsidRDefault="000336D8" w:rsidP="000336D8">
            <w:pPr>
              <w:rPr>
                <w:rFonts w:ascii="Calibri" w:eastAsia="Times New Roman" w:hAnsi="Calibri"/>
                <w:b/>
                <w:bCs/>
                <w:sz w:val="20"/>
                <w:szCs w:val="20"/>
              </w:rPr>
            </w:pPr>
            <w:r w:rsidRPr="000336D8">
              <w:rPr>
                <w:rFonts w:ascii="Calibri" w:eastAsia="Times New Roman" w:hAnsi="Calibri"/>
                <w:sz w:val="20"/>
                <w:szCs w:val="20"/>
              </w:rPr>
              <w:t>Shore-side perspective</w:t>
            </w: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3. Shipboard equipment</w:t>
            </w:r>
          </w:p>
        </w:tc>
        <w:tc>
          <w:tcPr>
            <w:tcW w:w="5752" w:type="dxa"/>
          </w:tcPr>
          <w:p w:rsidR="000336D8" w:rsidRPr="000336D8" w:rsidRDefault="000336D8" w:rsidP="000336D8">
            <w:pPr>
              <w:rPr>
                <w:rFonts w:ascii="Calibri" w:eastAsia="Times New Roman" w:hAnsi="Calibri"/>
                <w:b/>
                <w:bCs/>
                <w:sz w:val="20"/>
                <w:szCs w:val="20"/>
              </w:rPr>
            </w:pPr>
            <w:r w:rsidRPr="000336D8">
              <w:rPr>
                <w:rFonts w:ascii="Calibri" w:eastAsia="Times New Roman" w:hAnsi="Calibri"/>
                <w:sz w:val="20"/>
                <w:szCs w:val="20"/>
              </w:rPr>
              <w:t>Monitoring task</w:t>
            </w: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4. Maritime Service Portfolios</w:t>
            </w:r>
          </w:p>
        </w:tc>
        <w:tc>
          <w:tcPr>
            <w:tcW w:w="5752" w:type="dxa"/>
          </w:tcPr>
          <w:p w:rsidR="000336D8" w:rsidRPr="000336D8" w:rsidRDefault="000336D8" w:rsidP="000336D8">
            <w:pPr>
              <w:rPr>
                <w:rFonts w:ascii="Calibri" w:eastAsia="Times New Roman" w:hAnsi="Calibri"/>
                <w:b/>
                <w:bCs/>
                <w:sz w:val="20"/>
                <w:szCs w:val="20"/>
              </w:rPr>
            </w:pPr>
            <w:r w:rsidRPr="000336D8">
              <w:rPr>
                <w:rFonts w:ascii="Calibri" w:eastAsia="Times New Roman" w:hAnsi="Calibri"/>
                <w:sz w:val="20"/>
                <w:szCs w:val="20"/>
              </w:rPr>
              <w:t>Shore-based services</w:t>
            </w: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5. Communications: AIS &amp; VHF Data Exchange System</w:t>
            </w:r>
          </w:p>
        </w:tc>
        <w:tc>
          <w:tcPr>
            <w:tcW w:w="5752" w:type="dxa"/>
          </w:tcPr>
          <w:p w:rsidR="000336D8" w:rsidRPr="000336D8" w:rsidRDefault="000336D8" w:rsidP="000336D8">
            <w:pPr>
              <w:rPr>
                <w:rFonts w:ascii="Calibri" w:eastAsia="Times New Roman" w:hAnsi="Calibri"/>
                <w:b/>
                <w:bCs/>
                <w:sz w:val="20"/>
                <w:szCs w:val="20"/>
              </w:rPr>
            </w:pP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 xml:space="preserve"> - AIS &amp; VHF Data Exchange System</w:t>
            </w:r>
          </w:p>
        </w:tc>
        <w:tc>
          <w:tcPr>
            <w:tcW w:w="5752" w:type="dxa"/>
          </w:tcPr>
          <w:p w:rsidR="000336D8" w:rsidRPr="000336D8" w:rsidRDefault="000336D8" w:rsidP="000336D8">
            <w:pPr>
              <w:rPr>
                <w:rFonts w:ascii="Calibri" w:eastAsia="Times New Roman" w:hAnsi="Calibri"/>
                <w:b/>
                <w:bCs/>
                <w:sz w:val="20"/>
                <w:szCs w:val="20"/>
              </w:rPr>
            </w:pP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 xml:space="preserve"> - Maintain MRCP</w:t>
            </w:r>
          </w:p>
        </w:tc>
        <w:tc>
          <w:tcPr>
            <w:tcW w:w="5752" w:type="dxa"/>
          </w:tcPr>
          <w:p w:rsidR="000336D8" w:rsidRPr="000336D8" w:rsidRDefault="000336D8" w:rsidP="000336D8">
            <w:pPr>
              <w:rPr>
                <w:rFonts w:ascii="Calibri" w:eastAsia="Times New Roman" w:hAnsi="Calibri"/>
                <w:b/>
                <w:bCs/>
                <w:sz w:val="20"/>
                <w:szCs w:val="20"/>
              </w:rPr>
            </w:pPr>
          </w:p>
        </w:tc>
      </w:tr>
      <w:tr w:rsidR="000336D8" w:rsidRPr="000336D8" w:rsidTr="000336D8">
        <w:trPr>
          <w:trHeight w:val="510"/>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6. Integrated PNT</w:t>
            </w:r>
          </w:p>
        </w:tc>
        <w:tc>
          <w:tcPr>
            <w:tcW w:w="5752" w:type="dxa"/>
          </w:tcPr>
          <w:p w:rsidR="000336D8" w:rsidRDefault="000336D8" w:rsidP="000336D8">
            <w:pPr>
              <w:rPr>
                <w:rFonts w:ascii="Calibri" w:eastAsia="Times New Roman" w:hAnsi="Calibri"/>
                <w:b/>
                <w:bCs/>
                <w:sz w:val="20"/>
                <w:szCs w:val="20"/>
              </w:rPr>
            </w:pPr>
            <w:r w:rsidRPr="000336D8">
              <w:rPr>
                <w:rFonts w:ascii="Calibri" w:eastAsia="Times New Roman" w:hAnsi="Calibri"/>
                <w:sz w:val="20"/>
                <w:szCs w:val="20"/>
              </w:rPr>
              <w:t>Investigate what needs to be done to make SBAS usable within the maritime sector.</w:t>
            </w: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 xml:space="preserve"> - WWRNS</w:t>
            </w:r>
          </w:p>
        </w:tc>
        <w:tc>
          <w:tcPr>
            <w:tcW w:w="5752" w:type="dxa"/>
          </w:tcPr>
          <w:p w:rsidR="000336D8" w:rsidRPr="000336D8" w:rsidRDefault="000336D8" w:rsidP="000336D8">
            <w:pPr>
              <w:rPr>
                <w:rFonts w:ascii="Calibri" w:eastAsia="Times New Roman" w:hAnsi="Calibri"/>
                <w:b/>
                <w:bCs/>
                <w:sz w:val="20"/>
                <w:szCs w:val="20"/>
              </w:rPr>
            </w:pP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 xml:space="preserve"> - Resilient PNT</w:t>
            </w:r>
          </w:p>
        </w:tc>
        <w:tc>
          <w:tcPr>
            <w:tcW w:w="5752" w:type="dxa"/>
          </w:tcPr>
          <w:p w:rsidR="000336D8" w:rsidRPr="000336D8" w:rsidRDefault="000336D8" w:rsidP="000336D8">
            <w:pPr>
              <w:rPr>
                <w:rFonts w:ascii="Calibri" w:eastAsia="Times New Roman" w:hAnsi="Calibri"/>
                <w:b/>
                <w:bCs/>
                <w:sz w:val="20"/>
                <w:szCs w:val="20"/>
              </w:rPr>
            </w:pP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 xml:space="preserve"> - High accuracy PNT</w:t>
            </w:r>
          </w:p>
        </w:tc>
        <w:tc>
          <w:tcPr>
            <w:tcW w:w="5752" w:type="dxa"/>
          </w:tcPr>
          <w:p w:rsidR="000336D8" w:rsidRPr="000336D8" w:rsidRDefault="00A74025" w:rsidP="000336D8">
            <w:pPr>
              <w:rPr>
                <w:rFonts w:ascii="Calibri" w:eastAsia="Times New Roman" w:hAnsi="Calibri"/>
                <w:b/>
                <w:bCs/>
                <w:sz w:val="20"/>
                <w:szCs w:val="20"/>
              </w:rPr>
            </w:pPr>
            <w:r w:rsidRPr="000336D8">
              <w:rPr>
                <w:rFonts w:ascii="Calibri" w:eastAsia="Times New Roman" w:hAnsi="Calibri"/>
                <w:sz w:val="20"/>
                <w:szCs w:val="20"/>
              </w:rPr>
              <w:t>Work to include port and docking requirements (RTK, PPP etc)</w:t>
            </w: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 xml:space="preserve"> - Multi system Receiver Standard</w:t>
            </w:r>
          </w:p>
        </w:tc>
        <w:tc>
          <w:tcPr>
            <w:tcW w:w="5752" w:type="dxa"/>
          </w:tcPr>
          <w:p w:rsidR="000336D8" w:rsidRPr="000336D8" w:rsidRDefault="00A74025" w:rsidP="000336D8">
            <w:pPr>
              <w:rPr>
                <w:rFonts w:ascii="Calibri" w:eastAsia="Times New Roman" w:hAnsi="Calibri"/>
                <w:b/>
                <w:bCs/>
                <w:sz w:val="20"/>
                <w:szCs w:val="20"/>
              </w:rPr>
            </w:pPr>
            <w:r w:rsidRPr="000336D8">
              <w:rPr>
                <w:rFonts w:ascii="Calibri" w:eastAsia="Times New Roman" w:hAnsi="Calibri"/>
                <w:sz w:val="20"/>
                <w:szCs w:val="20"/>
              </w:rPr>
              <w:t xml:space="preserve">IMO PS </w:t>
            </w:r>
            <w:proofErr w:type="spellStart"/>
            <w:r w:rsidRPr="000336D8">
              <w:rPr>
                <w:rFonts w:ascii="Calibri" w:eastAsia="Times New Roman" w:hAnsi="Calibri"/>
                <w:sz w:val="20"/>
                <w:szCs w:val="20"/>
              </w:rPr>
              <w:t>tba</w:t>
            </w:r>
            <w:proofErr w:type="spellEnd"/>
            <w:r w:rsidRPr="000336D8">
              <w:rPr>
                <w:rFonts w:ascii="Calibri" w:eastAsia="Times New Roman" w:hAnsi="Calibri"/>
                <w:sz w:val="20"/>
                <w:szCs w:val="20"/>
              </w:rPr>
              <w:t xml:space="preserve"> at NCSR 1 &amp; 2</w:t>
            </w: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 xml:space="preserve"> - Future Radar </w:t>
            </w:r>
            <w:proofErr w:type="spellStart"/>
            <w:r w:rsidRPr="000336D8">
              <w:rPr>
                <w:rFonts w:ascii="Calibri" w:eastAsia="Times New Roman" w:hAnsi="Calibri"/>
                <w:b/>
                <w:bCs/>
                <w:sz w:val="20"/>
                <w:szCs w:val="20"/>
              </w:rPr>
              <w:t>AtoNs</w:t>
            </w:r>
            <w:proofErr w:type="spellEnd"/>
          </w:p>
        </w:tc>
        <w:tc>
          <w:tcPr>
            <w:tcW w:w="5752" w:type="dxa"/>
          </w:tcPr>
          <w:p w:rsidR="000336D8" w:rsidRPr="000336D8" w:rsidRDefault="000336D8" w:rsidP="000336D8">
            <w:pPr>
              <w:rPr>
                <w:rFonts w:ascii="Calibri" w:eastAsia="Times New Roman" w:hAnsi="Calibri"/>
                <w:b/>
                <w:bCs/>
                <w:sz w:val="20"/>
                <w:szCs w:val="20"/>
              </w:rPr>
            </w:pPr>
          </w:p>
        </w:tc>
      </w:tr>
      <w:tr w:rsidR="000336D8" w:rsidRPr="000336D8" w:rsidTr="000336D8">
        <w:trPr>
          <w:trHeight w:val="76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 Future development of existing systems</w:t>
            </w:r>
          </w:p>
        </w:tc>
        <w:tc>
          <w:tcPr>
            <w:tcW w:w="5752" w:type="dxa"/>
          </w:tcPr>
          <w:p w:rsidR="000336D8" w:rsidRDefault="00A74025" w:rsidP="000336D8">
            <w:pPr>
              <w:rPr>
                <w:rFonts w:ascii="Calibri" w:eastAsia="Times New Roman" w:hAnsi="Calibri"/>
                <w:b/>
                <w:bCs/>
                <w:sz w:val="20"/>
                <w:szCs w:val="20"/>
              </w:rPr>
            </w:pPr>
            <w:r w:rsidRPr="000336D8">
              <w:rPr>
                <w:rFonts w:ascii="Calibri" w:eastAsia="Times New Roman" w:hAnsi="Calibri"/>
                <w:sz w:val="20"/>
                <w:szCs w:val="20"/>
              </w:rPr>
              <w:t>Consider potential future services and functions that can be provided by existing infrastructure - for example DGNSS reference stations used for timing and independent positioning.</w:t>
            </w: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7. Shore-based infrastructure</w:t>
            </w:r>
          </w:p>
        </w:tc>
        <w:tc>
          <w:tcPr>
            <w:tcW w:w="5752" w:type="dxa"/>
          </w:tcPr>
          <w:p w:rsidR="000336D8" w:rsidRPr="000336D8" w:rsidRDefault="00A74025" w:rsidP="000336D8">
            <w:pPr>
              <w:rPr>
                <w:rFonts w:ascii="Calibri" w:eastAsia="Times New Roman" w:hAnsi="Calibri"/>
                <w:b/>
                <w:bCs/>
                <w:sz w:val="20"/>
                <w:szCs w:val="20"/>
              </w:rPr>
            </w:pPr>
            <w:r w:rsidRPr="000336D8">
              <w:rPr>
                <w:rFonts w:ascii="Calibri" w:eastAsia="Times New Roman" w:hAnsi="Calibri"/>
                <w:sz w:val="20"/>
                <w:szCs w:val="20"/>
              </w:rPr>
              <w:t>Including minimum configuration of CSSA - e.g. AIS based VTS</w:t>
            </w: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8. Common Maritime Data Structure</w:t>
            </w:r>
          </w:p>
        </w:tc>
        <w:tc>
          <w:tcPr>
            <w:tcW w:w="5752" w:type="dxa"/>
          </w:tcPr>
          <w:p w:rsidR="000336D8" w:rsidRPr="000336D8" w:rsidRDefault="00A74025" w:rsidP="000336D8">
            <w:pPr>
              <w:rPr>
                <w:rFonts w:ascii="Calibri" w:eastAsia="Times New Roman" w:hAnsi="Calibri"/>
                <w:b/>
                <w:bCs/>
                <w:sz w:val="20"/>
                <w:szCs w:val="20"/>
              </w:rPr>
            </w:pPr>
            <w:r w:rsidRPr="000336D8">
              <w:rPr>
                <w:rFonts w:ascii="Calibri" w:eastAsia="Times New Roman" w:hAnsi="Calibri"/>
                <w:sz w:val="20"/>
                <w:szCs w:val="20"/>
              </w:rPr>
              <w:t>IALA Domains management, data modelling and standardisation</w:t>
            </w: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9. e-Navigation Portrayal</w:t>
            </w:r>
          </w:p>
        </w:tc>
        <w:tc>
          <w:tcPr>
            <w:tcW w:w="5752" w:type="dxa"/>
          </w:tcPr>
          <w:p w:rsidR="000336D8" w:rsidRPr="000336D8" w:rsidRDefault="000336D8" w:rsidP="000336D8">
            <w:pPr>
              <w:rPr>
                <w:rFonts w:ascii="Calibri" w:eastAsia="Times New Roman" w:hAnsi="Calibri"/>
                <w:b/>
                <w:bCs/>
                <w:sz w:val="20"/>
                <w:szCs w:val="20"/>
              </w:rPr>
            </w:pP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10. e-Navigation Usability</w:t>
            </w:r>
          </w:p>
        </w:tc>
        <w:tc>
          <w:tcPr>
            <w:tcW w:w="5752" w:type="dxa"/>
          </w:tcPr>
          <w:p w:rsidR="000336D8" w:rsidRPr="000336D8" w:rsidRDefault="00A74025" w:rsidP="000336D8">
            <w:pPr>
              <w:rPr>
                <w:rFonts w:ascii="Calibri" w:eastAsia="Times New Roman" w:hAnsi="Calibri"/>
                <w:b/>
                <w:bCs/>
                <w:sz w:val="20"/>
                <w:szCs w:val="20"/>
              </w:rPr>
            </w:pPr>
            <w:r w:rsidRPr="000336D8">
              <w:rPr>
                <w:rFonts w:ascii="Calibri" w:eastAsia="Times New Roman" w:hAnsi="Calibri"/>
                <w:sz w:val="20"/>
                <w:szCs w:val="20"/>
              </w:rPr>
              <w:t>Reflect IMO Guideline</w:t>
            </w: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11. e-Navigation Test Beds</w:t>
            </w:r>
          </w:p>
        </w:tc>
        <w:tc>
          <w:tcPr>
            <w:tcW w:w="5752" w:type="dxa"/>
          </w:tcPr>
          <w:p w:rsidR="000336D8" w:rsidRPr="000336D8" w:rsidRDefault="00A74025" w:rsidP="000336D8">
            <w:pPr>
              <w:rPr>
                <w:rFonts w:ascii="Calibri" w:eastAsia="Times New Roman" w:hAnsi="Calibri"/>
                <w:b/>
                <w:bCs/>
                <w:sz w:val="20"/>
                <w:szCs w:val="20"/>
              </w:rPr>
            </w:pPr>
            <w:r w:rsidRPr="000336D8">
              <w:rPr>
                <w:rFonts w:ascii="Calibri" w:eastAsia="Times New Roman" w:hAnsi="Calibri"/>
                <w:sz w:val="20"/>
                <w:szCs w:val="20"/>
              </w:rPr>
              <w:t>Reflect IMO Guideline</w:t>
            </w:r>
          </w:p>
        </w:tc>
      </w:tr>
      <w:tr w:rsidR="000336D8" w:rsidRPr="000336D8" w:rsidTr="000336D8">
        <w:trPr>
          <w:trHeight w:val="255"/>
        </w:trPr>
        <w:tc>
          <w:tcPr>
            <w:tcW w:w="3660" w:type="dxa"/>
            <w:noWrap/>
            <w:hideMark/>
          </w:tcPr>
          <w:p w:rsidR="000336D8" w:rsidRPr="000336D8" w:rsidRDefault="000336D8" w:rsidP="000336D8">
            <w:pPr>
              <w:rPr>
                <w:rFonts w:ascii="Calibri" w:eastAsia="Times New Roman" w:hAnsi="Calibri"/>
                <w:b/>
                <w:bCs/>
                <w:sz w:val="20"/>
                <w:szCs w:val="20"/>
              </w:rPr>
            </w:pPr>
            <w:r w:rsidRPr="000336D8">
              <w:rPr>
                <w:rFonts w:ascii="Calibri" w:eastAsia="Times New Roman" w:hAnsi="Calibri"/>
                <w:b/>
                <w:bCs/>
                <w:sz w:val="20"/>
                <w:szCs w:val="20"/>
              </w:rPr>
              <w:t>12. Software Quality Assurance</w:t>
            </w:r>
          </w:p>
        </w:tc>
        <w:tc>
          <w:tcPr>
            <w:tcW w:w="5752" w:type="dxa"/>
          </w:tcPr>
          <w:p w:rsidR="000336D8" w:rsidRPr="000336D8" w:rsidRDefault="00A74025" w:rsidP="000336D8">
            <w:pPr>
              <w:rPr>
                <w:rFonts w:ascii="Calibri" w:eastAsia="Times New Roman" w:hAnsi="Calibri"/>
                <w:b/>
                <w:bCs/>
                <w:sz w:val="20"/>
                <w:szCs w:val="20"/>
              </w:rPr>
            </w:pPr>
            <w:r w:rsidRPr="000336D8">
              <w:rPr>
                <w:rFonts w:ascii="Calibri" w:eastAsia="Times New Roman" w:hAnsi="Calibri"/>
                <w:sz w:val="20"/>
                <w:szCs w:val="20"/>
              </w:rPr>
              <w:t>Reflect IMO Guideline</w:t>
            </w:r>
          </w:p>
        </w:tc>
      </w:tr>
    </w:tbl>
    <w:p w:rsidR="00A62F54" w:rsidRDefault="00A62F54" w:rsidP="00A37A82">
      <w:pPr>
        <w:pStyle w:val="BodyText"/>
        <w:rPr>
          <w:lang w:eastAsia="de-DE"/>
        </w:rPr>
      </w:pPr>
    </w:p>
    <w:p w:rsidR="00DA7AC3" w:rsidRDefault="00DA7AC3" w:rsidP="00DA7AC3">
      <w:pPr>
        <w:pStyle w:val="BodyText"/>
        <w:spacing w:after="0"/>
        <w:rPr>
          <w:lang w:eastAsia="de-DE"/>
        </w:rPr>
      </w:pPr>
      <w:r>
        <w:rPr>
          <w:lang w:eastAsia="de-DE"/>
        </w:rPr>
        <w:lastRenderedPageBreak/>
        <w:t>It can be seen that the proposed Work program aligns well with both the 2014-26 Strategy and with the 4 year strategies (for demonstrators read test beds).</w:t>
      </w:r>
    </w:p>
    <w:p w:rsidR="00DA7AC3" w:rsidRDefault="00DA7AC3" w:rsidP="00DA7AC3">
      <w:pPr>
        <w:pStyle w:val="BodyText"/>
        <w:spacing w:after="0"/>
        <w:rPr>
          <w:lang w:eastAsia="de-DE"/>
        </w:rPr>
      </w:pPr>
    </w:p>
    <w:p w:rsidR="00DA7AC3" w:rsidRDefault="00DA7AC3" w:rsidP="00A37A82">
      <w:pPr>
        <w:pStyle w:val="BodyText"/>
        <w:rPr>
          <w:b/>
          <w:lang w:eastAsia="de-DE"/>
        </w:rPr>
      </w:pPr>
      <w:r>
        <w:rPr>
          <w:b/>
          <w:lang w:eastAsia="de-DE"/>
        </w:rPr>
        <w:t>Committee Structure</w:t>
      </w:r>
    </w:p>
    <w:p w:rsidR="00426C3F" w:rsidRPr="00426C3F" w:rsidRDefault="00426C3F" w:rsidP="00DA7AC3">
      <w:pPr>
        <w:pStyle w:val="PlainText"/>
        <w:rPr>
          <w:rFonts w:ascii="Arial" w:hAnsi="Arial" w:cs="Arial"/>
          <w:sz w:val="22"/>
          <w:szCs w:val="22"/>
        </w:rPr>
      </w:pPr>
      <w:r w:rsidRPr="00426C3F">
        <w:rPr>
          <w:rFonts w:ascii="Arial" w:hAnsi="Arial" w:cs="Arial"/>
          <w:sz w:val="22"/>
          <w:szCs w:val="22"/>
        </w:rPr>
        <w:t>It has been proposed that Technical Committee #2 should deal with e-Navigation and shore infrastructure, under the Technical Domains set out below:</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TD#1 - Data modelling and message systems</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AtoN data information structure, exchange, presentation</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S-100 registry and Product Specifications</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Message structure for e-</w:t>
      </w:r>
      <w:proofErr w:type="spellStart"/>
      <w:r w:rsidRPr="00426C3F">
        <w:rPr>
          <w:rFonts w:ascii="Arial" w:hAnsi="Arial" w:cs="Arial"/>
          <w:sz w:val="22"/>
          <w:szCs w:val="22"/>
        </w:rPr>
        <w:t>Nav</w:t>
      </w:r>
      <w:proofErr w:type="spellEnd"/>
      <w:r w:rsidRPr="00426C3F">
        <w:rPr>
          <w:rFonts w:ascii="Arial" w:hAnsi="Arial" w:cs="Arial"/>
          <w:sz w:val="22"/>
          <w:szCs w:val="22"/>
        </w:rPr>
        <w:t xml:space="preserve"> including VDES</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Maritime Service Portfolios, design and content</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TD#2 - e-Navigation communications</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VDES, satellite, WRCP</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AIS technology</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ASM coordination and web hosting</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ITU planning and liaison, WRC preparation and national coordination</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TD#3 - Shore technical infrastructure</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Shore infrastructure design</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r>
      <w:proofErr w:type="gramStart"/>
      <w:r w:rsidRPr="00426C3F">
        <w:rPr>
          <w:rFonts w:ascii="Arial" w:hAnsi="Arial" w:cs="Arial"/>
          <w:sz w:val="22"/>
          <w:szCs w:val="22"/>
        </w:rPr>
        <w:t>e-Navigation</w:t>
      </w:r>
      <w:proofErr w:type="gramEnd"/>
      <w:r w:rsidRPr="00426C3F">
        <w:rPr>
          <w:rFonts w:ascii="Arial" w:hAnsi="Arial" w:cs="Arial"/>
          <w:sz w:val="22"/>
          <w:szCs w:val="22"/>
        </w:rPr>
        <w:t xml:space="preserve"> architecture</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Resilient PNT shore services - DGPS, e-Loran, other</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Virtual AtoN technology</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Sharing of shore data, IALA-NET, etc.</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TD#4 - Future sea navigation services</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Data gathering and analysis</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Participation in and harmonisation of results of test beds</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Harmonisation policy and planning</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 xml:space="preserve">Sea traffic </w:t>
      </w:r>
      <w:proofErr w:type="gramStart"/>
      <w:r w:rsidRPr="00426C3F">
        <w:rPr>
          <w:rFonts w:ascii="Arial" w:hAnsi="Arial" w:cs="Arial"/>
          <w:sz w:val="22"/>
          <w:szCs w:val="22"/>
        </w:rPr>
        <w:t>operations,</w:t>
      </w:r>
      <w:proofErr w:type="gramEnd"/>
      <w:r w:rsidRPr="00426C3F">
        <w:rPr>
          <w:rFonts w:ascii="Arial" w:hAnsi="Arial" w:cs="Arial"/>
          <w:sz w:val="22"/>
          <w:szCs w:val="22"/>
        </w:rPr>
        <w:t xml:space="preserve"> and VTS beyond territorial limits</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 xml:space="preserve">Monitoring of </w:t>
      </w:r>
      <w:proofErr w:type="gramStart"/>
      <w:r w:rsidRPr="00426C3F">
        <w:rPr>
          <w:rFonts w:ascii="Arial" w:hAnsi="Arial" w:cs="Arial"/>
          <w:sz w:val="22"/>
          <w:szCs w:val="22"/>
        </w:rPr>
        <w:t>developments  nationally</w:t>
      </w:r>
      <w:proofErr w:type="gramEnd"/>
      <w:r w:rsidRPr="00426C3F">
        <w:rPr>
          <w:rFonts w:ascii="Arial" w:hAnsi="Arial" w:cs="Arial"/>
          <w:sz w:val="22"/>
          <w:szCs w:val="22"/>
        </w:rPr>
        <w:t xml:space="preserve"> and regionally, and effect on competent </w:t>
      </w:r>
      <w:r w:rsidR="00426C3F">
        <w:rPr>
          <w:rFonts w:ascii="Arial" w:hAnsi="Arial" w:cs="Arial"/>
          <w:sz w:val="22"/>
          <w:szCs w:val="22"/>
        </w:rPr>
        <w:tab/>
      </w:r>
      <w:r w:rsidRPr="00426C3F">
        <w:rPr>
          <w:rFonts w:ascii="Arial" w:hAnsi="Arial" w:cs="Arial"/>
          <w:sz w:val="22"/>
          <w:szCs w:val="22"/>
        </w:rPr>
        <w:t>authorities</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Maintaining advice to IALA membership</w:t>
      </w:r>
    </w:p>
    <w:p w:rsidR="00DA7AC3" w:rsidRPr="00426C3F" w:rsidRDefault="00DA7AC3" w:rsidP="00DA7AC3">
      <w:pPr>
        <w:pStyle w:val="PlainText"/>
        <w:rPr>
          <w:rFonts w:ascii="Arial" w:hAnsi="Arial" w:cs="Arial"/>
          <w:sz w:val="22"/>
          <w:szCs w:val="22"/>
        </w:rPr>
      </w:pPr>
      <w:r w:rsidRPr="00426C3F">
        <w:rPr>
          <w:rFonts w:ascii="Arial" w:hAnsi="Arial" w:cs="Arial"/>
          <w:sz w:val="22"/>
          <w:szCs w:val="22"/>
        </w:rPr>
        <w:tab/>
        <w:t>Proposing draft IALA policy and draft standards</w:t>
      </w:r>
    </w:p>
    <w:p w:rsidR="00DA7AC3" w:rsidRDefault="00DA7AC3" w:rsidP="00DA7AC3">
      <w:pPr>
        <w:pStyle w:val="PlainText"/>
      </w:pPr>
    </w:p>
    <w:p w:rsidR="00DA7AC3" w:rsidRPr="00426C3F" w:rsidRDefault="00426C3F" w:rsidP="00DA7AC3">
      <w:pPr>
        <w:pStyle w:val="PlainText"/>
        <w:rPr>
          <w:rFonts w:ascii="Arial" w:hAnsi="Arial" w:cs="Arial"/>
          <w:sz w:val="22"/>
          <w:szCs w:val="22"/>
        </w:rPr>
      </w:pPr>
      <w:r w:rsidRPr="00426C3F">
        <w:rPr>
          <w:rFonts w:ascii="Arial" w:hAnsi="Arial" w:cs="Arial"/>
          <w:sz w:val="22"/>
          <w:szCs w:val="22"/>
        </w:rPr>
        <w:t>These fit quite well into the following working group structure:</w:t>
      </w:r>
    </w:p>
    <w:p w:rsidR="000A565A" w:rsidRDefault="000A565A" w:rsidP="00426C3F">
      <w:pPr>
        <w:pStyle w:val="PlainText"/>
        <w:rPr>
          <w:rFonts w:ascii="Arial" w:hAnsi="Arial" w:cs="Arial"/>
          <w:sz w:val="22"/>
          <w:szCs w:val="22"/>
        </w:rPr>
      </w:pPr>
    </w:p>
    <w:p w:rsidR="00426C3F" w:rsidRPr="00426C3F" w:rsidRDefault="00426C3F" w:rsidP="00426C3F">
      <w:pPr>
        <w:pStyle w:val="PlainText"/>
        <w:rPr>
          <w:rFonts w:ascii="Arial" w:hAnsi="Arial" w:cs="Arial"/>
          <w:sz w:val="22"/>
          <w:szCs w:val="22"/>
        </w:rPr>
      </w:pPr>
      <w:r w:rsidRPr="00426C3F">
        <w:rPr>
          <w:rFonts w:ascii="Arial" w:hAnsi="Arial" w:cs="Arial"/>
          <w:sz w:val="22"/>
          <w:szCs w:val="22"/>
        </w:rPr>
        <w:t xml:space="preserve">1. </w:t>
      </w:r>
      <w:proofErr w:type="spellStart"/>
      <w:r w:rsidRPr="00426C3F">
        <w:rPr>
          <w:rFonts w:ascii="Arial" w:hAnsi="Arial" w:cs="Arial"/>
          <w:sz w:val="22"/>
          <w:szCs w:val="22"/>
        </w:rPr>
        <w:t>Testbeds</w:t>
      </w:r>
      <w:proofErr w:type="spellEnd"/>
      <w:r w:rsidRPr="00426C3F">
        <w:rPr>
          <w:rFonts w:ascii="Arial" w:hAnsi="Arial" w:cs="Arial"/>
          <w:sz w:val="22"/>
          <w:szCs w:val="22"/>
        </w:rPr>
        <w:t xml:space="preserve"> and Future Sea Navigation Services (TD#4)</w:t>
      </w:r>
    </w:p>
    <w:p w:rsidR="000A565A" w:rsidRDefault="000A565A" w:rsidP="00426C3F">
      <w:pPr>
        <w:pStyle w:val="PlainText"/>
        <w:rPr>
          <w:rFonts w:ascii="Arial" w:hAnsi="Arial" w:cs="Arial"/>
          <w:sz w:val="22"/>
          <w:szCs w:val="22"/>
        </w:rPr>
      </w:pPr>
    </w:p>
    <w:p w:rsidR="00426C3F" w:rsidRPr="00426C3F" w:rsidRDefault="00426C3F" w:rsidP="00426C3F">
      <w:pPr>
        <w:pStyle w:val="PlainText"/>
        <w:rPr>
          <w:rFonts w:ascii="Arial" w:hAnsi="Arial" w:cs="Arial"/>
          <w:sz w:val="22"/>
          <w:szCs w:val="22"/>
        </w:rPr>
      </w:pPr>
      <w:r w:rsidRPr="00426C3F">
        <w:rPr>
          <w:rFonts w:ascii="Arial" w:hAnsi="Arial" w:cs="Arial"/>
          <w:sz w:val="22"/>
          <w:szCs w:val="22"/>
        </w:rPr>
        <w:t>2. Shore infrastructure/PNT (TD#3)</w:t>
      </w:r>
    </w:p>
    <w:p w:rsidR="000A565A" w:rsidRDefault="000A565A" w:rsidP="00426C3F">
      <w:pPr>
        <w:pStyle w:val="PlainText"/>
        <w:rPr>
          <w:rFonts w:ascii="Arial" w:hAnsi="Arial" w:cs="Arial"/>
          <w:sz w:val="22"/>
          <w:szCs w:val="22"/>
        </w:rPr>
      </w:pPr>
    </w:p>
    <w:p w:rsidR="00426C3F" w:rsidRPr="00426C3F" w:rsidRDefault="00426C3F" w:rsidP="00426C3F">
      <w:pPr>
        <w:pStyle w:val="PlainText"/>
        <w:rPr>
          <w:rFonts w:ascii="Arial" w:hAnsi="Arial" w:cs="Arial"/>
          <w:sz w:val="22"/>
          <w:szCs w:val="22"/>
        </w:rPr>
      </w:pPr>
      <w:r w:rsidRPr="00426C3F">
        <w:rPr>
          <w:rFonts w:ascii="Arial" w:hAnsi="Arial" w:cs="Arial"/>
          <w:sz w:val="22"/>
          <w:szCs w:val="22"/>
        </w:rPr>
        <w:t>3. Communications (TD#2)</w:t>
      </w:r>
    </w:p>
    <w:p w:rsidR="000A565A" w:rsidRDefault="000A565A" w:rsidP="00426C3F">
      <w:pPr>
        <w:pStyle w:val="PlainText"/>
        <w:rPr>
          <w:rFonts w:ascii="Arial" w:hAnsi="Arial" w:cs="Arial"/>
          <w:sz w:val="22"/>
          <w:szCs w:val="22"/>
        </w:rPr>
      </w:pPr>
    </w:p>
    <w:p w:rsidR="00426C3F" w:rsidRDefault="00426C3F" w:rsidP="00426C3F">
      <w:pPr>
        <w:pStyle w:val="PlainText"/>
        <w:rPr>
          <w:rFonts w:ascii="Arial" w:hAnsi="Arial" w:cs="Arial"/>
          <w:sz w:val="22"/>
          <w:szCs w:val="22"/>
        </w:rPr>
      </w:pPr>
      <w:r w:rsidRPr="00426C3F">
        <w:rPr>
          <w:rFonts w:ascii="Arial" w:hAnsi="Arial" w:cs="Arial"/>
          <w:sz w:val="22"/>
          <w:szCs w:val="22"/>
        </w:rPr>
        <w:t>4. Data modelling/MSPs (incl. IMO e-NAV liaison) (TD#1)</w:t>
      </w:r>
    </w:p>
    <w:p w:rsidR="000A565A" w:rsidRDefault="000A565A" w:rsidP="00426C3F">
      <w:pPr>
        <w:pStyle w:val="PlainText"/>
        <w:rPr>
          <w:rFonts w:ascii="Arial" w:hAnsi="Arial" w:cs="Arial"/>
          <w:sz w:val="22"/>
          <w:szCs w:val="22"/>
        </w:rPr>
      </w:pPr>
    </w:p>
    <w:p w:rsidR="000A565A" w:rsidRDefault="000A565A" w:rsidP="00426C3F">
      <w:pPr>
        <w:pStyle w:val="PlainText"/>
        <w:rPr>
          <w:rFonts w:ascii="Arial" w:hAnsi="Arial" w:cs="Arial"/>
          <w:sz w:val="22"/>
          <w:szCs w:val="22"/>
        </w:rPr>
      </w:pPr>
      <w:r>
        <w:rPr>
          <w:rFonts w:ascii="Arial" w:hAnsi="Arial" w:cs="Arial"/>
          <w:sz w:val="22"/>
          <w:szCs w:val="22"/>
        </w:rPr>
        <w:t>However, there should be flexibility about both the domains and the working groups, as e-Navigation is a developing field.</w:t>
      </w:r>
    </w:p>
    <w:p w:rsidR="000A565A" w:rsidRDefault="000A565A" w:rsidP="00426C3F">
      <w:pPr>
        <w:pStyle w:val="PlainText"/>
        <w:rPr>
          <w:rFonts w:ascii="Arial" w:hAnsi="Arial" w:cs="Arial"/>
          <w:sz w:val="22"/>
          <w:szCs w:val="22"/>
        </w:rPr>
      </w:pPr>
    </w:p>
    <w:p w:rsidR="000A565A" w:rsidRPr="00847B1D" w:rsidRDefault="00847B1D" w:rsidP="00847B1D">
      <w:pPr>
        <w:pStyle w:val="PlainText"/>
        <w:spacing w:after="120"/>
        <w:rPr>
          <w:rFonts w:ascii="Arial" w:hAnsi="Arial" w:cs="Arial"/>
          <w:b/>
          <w:sz w:val="22"/>
          <w:szCs w:val="22"/>
        </w:rPr>
      </w:pPr>
      <w:r w:rsidRPr="00847B1D">
        <w:rPr>
          <w:rFonts w:ascii="Arial" w:hAnsi="Arial" w:cs="Arial"/>
          <w:b/>
          <w:sz w:val="22"/>
          <w:szCs w:val="22"/>
        </w:rPr>
        <w:t>Workshops</w:t>
      </w:r>
    </w:p>
    <w:p w:rsidR="00847B1D" w:rsidRDefault="00847B1D" w:rsidP="00847B1D">
      <w:pPr>
        <w:pStyle w:val="PlainText"/>
        <w:spacing w:after="120"/>
        <w:rPr>
          <w:rFonts w:ascii="Arial" w:hAnsi="Arial" w:cs="Arial"/>
          <w:sz w:val="22"/>
          <w:szCs w:val="22"/>
        </w:rPr>
      </w:pPr>
      <w:r>
        <w:rPr>
          <w:rFonts w:ascii="Arial" w:hAnsi="Arial" w:cs="Arial"/>
          <w:sz w:val="22"/>
          <w:szCs w:val="22"/>
        </w:rPr>
        <w:t>Topics for workshops suggested by the above WG structure would be:</w:t>
      </w:r>
    </w:p>
    <w:p w:rsidR="00847B1D" w:rsidRDefault="00847B1D" w:rsidP="00847B1D">
      <w:pPr>
        <w:pStyle w:val="PlainText"/>
        <w:spacing w:after="120"/>
        <w:rPr>
          <w:rFonts w:ascii="Arial" w:hAnsi="Arial" w:cs="Arial"/>
          <w:sz w:val="22"/>
          <w:szCs w:val="22"/>
        </w:rPr>
      </w:pPr>
      <w:r>
        <w:rPr>
          <w:rFonts w:ascii="Arial" w:hAnsi="Arial" w:cs="Arial"/>
          <w:sz w:val="22"/>
          <w:szCs w:val="22"/>
        </w:rPr>
        <w:t xml:space="preserve">1. </w:t>
      </w:r>
      <w:proofErr w:type="spellStart"/>
      <w:r>
        <w:rPr>
          <w:rFonts w:ascii="Arial" w:hAnsi="Arial" w:cs="Arial"/>
          <w:sz w:val="22"/>
          <w:szCs w:val="22"/>
        </w:rPr>
        <w:t>Testbed</w:t>
      </w:r>
      <w:proofErr w:type="spellEnd"/>
      <w:r>
        <w:rPr>
          <w:rFonts w:ascii="Arial" w:hAnsi="Arial" w:cs="Arial"/>
          <w:sz w:val="22"/>
          <w:szCs w:val="22"/>
        </w:rPr>
        <w:t xml:space="preserve"> coordination; Sea Navigation Services</w:t>
      </w:r>
    </w:p>
    <w:p w:rsidR="00847B1D" w:rsidRDefault="00847B1D" w:rsidP="00847B1D">
      <w:pPr>
        <w:pStyle w:val="PlainText"/>
        <w:spacing w:after="120"/>
        <w:rPr>
          <w:rFonts w:ascii="Arial" w:hAnsi="Arial" w:cs="Arial"/>
          <w:sz w:val="22"/>
          <w:szCs w:val="22"/>
        </w:rPr>
      </w:pPr>
      <w:r>
        <w:rPr>
          <w:rFonts w:ascii="Arial" w:hAnsi="Arial" w:cs="Arial"/>
          <w:sz w:val="22"/>
          <w:szCs w:val="22"/>
        </w:rPr>
        <w:t xml:space="preserve">2. Resilient PNT; </w:t>
      </w:r>
    </w:p>
    <w:p w:rsidR="00847B1D" w:rsidRDefault="00847B1D" w:rsidP="00847B1D">
      <w:pPr>
        <w:pStyle w:val="PlainText"/>
        <w:spacing w:after="120"/>
        <w:rPr>
          <w:rFonts w:ascii="Arial" w:hAnsi="Arial" w:cs="Arial"/>
          <w:sz w:val="22"/>
          <w:szCs w:val="22"/>
        </w:rPr>
      </w:pPr>
      <w:r>
        <w:rPr>
          <w:rFonts w:ascii="Arial" w:hAnsi="Arial" w:cs="Arial"/>
          <w:sz w:val="22"/>
          <w:szCs w:val="22"/>
        </w:rPr>
        <w:t>3. VDES</w:t>
      </w:r>
    </w:p>
    <w:p w:rsidR="00847B1D" w:rsidRDefault="00847B1D" w:rsidP="00847B1D">
      <w:pPr>
        <w:pStyle w:val="PlainText"/>
        <w:spacing w:after="120"/>
        <w:rPr>
          <w:rFonts w:ascii="Arial" w:hAnsi="Arial" w:cs="Arial"/>
          <w:sz w:val="22"/>
          <w:szCs w:val="22"/>
        </w:rPr>
      </w:pPr>
      <w:r>
        <w:rPr>
          <w:rFonts w:ascii="Arial" w:hAnsi="Arial" w:cs="Arial"/>
          <w:sz w:val="22"/>
          <w:szCs w:val="22"/>
        </w:rPr>
        <w:t>4. MSP harmonization; Product Specification development</w:t>
      </w:r>
    </w:p>
    <w:p w:rsidR="00847B1D" w:rsidRPr="00426C3F" w:rsidRDefault="00847B1D" w:rsidP="00426C3F">
      <w:pPr>
        <w:pStyle w:val="PlainText"/>
        <w:rPr>
          <w:rFonts w:ascii="Arial" w:hAnsi="Arial" w:cs="Arial"/>
          <w:sz w:val="22"/>
          <w:szCs w:val="22"/>
        </w:rPr>
      </w:pPr>
    </w:p>
    <w:p w:rsidR="00DA7AC3" w:rsidRDefault="00DA7AC3" w:rsidP="00DA7AC3">
      <w:pPr>
        <w:pStyle w:val="PlainText"/>
      </w:pPr>
    </w:p>
    <w:p w:rsidR="00DA7AC3" w:rsidRDefault="00DA7AC3" w:rsidP="00A37A82">
      <w:pPr>
        <w:pStyle w:val="BodyText"/>
        <w:rPr>
          <w:b/>
          <w:lang w:eastAsia="de-DE"/>
        </w:rPr>
      </w:pPr>
    </w:p>
    <w:p w:rsidR="00DA7AC3" w:rsidRPr="00DA7AC3" w:rsidRDefault="00DA7AC3" w:rsidP="00A37A82">
      <w:pPr>
        <w:pStyle w:val="BodyText"/>
        <w:rPr>
          <w:b/>
          <w:lang w:eastAsia="de-DE"/>
        </w:rPr>
      </w:pPr>
    </w:p>
    <w:sectPr w:rsidR="00DA7AC3" w:rsidRPr="00DA7AC3" w:rsidSect="0082480E">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277" w:rsidRDefault="009B2277" w:rsidP="00362CD9">
      <w:r>
        <w:separator/>
      </w:r>
    </w:p>
  </w:endnote>
  <w:endnote w:type="continuationSeparator" w:id="0">
    <w:p w:rsidR="009B2277" w:rsidRDefault="009B227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277" w:rsidRDefault="009B2277" w:rsidP="00362CD9">
      <w:r>
        <w:separator/>
      </w:r>
    </w:p>
  </w:footnote>
  <w:footnote w:type="continuationSeparator" w:id="0">
    <w:p w:rsidR="009B2277" w:rsidRDefault="009B2277"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ECA" w:rsidRDefault="00F11ECA">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4F974D7"/>
    <w:multiLevelType w:val="hybridMultilevel"/>
    <w:tmpl w:val="712AE556"/>
    <w:lvl w:ilvl="0" w:tplc="A73E667A">
      <w:start w:val="1"/>
      <w:numFmt w:val="bullet"/>
      <w:lvlText w:val=""/>
      <w:lvlJc w:val="left"/>
      <w:pPr>
        <w:tabs>
          <w:tab w:val="num" w:pos="720"/>
        </w:tabs>
        <w:ind w:left="720" w:hanging="360"/>
      </w:pPr>
      <w:rPr>
        <w:rFonts w:ascii="Wingdings" w:hAnsi="Wingdings" w:hint="default"/>
      </w:rPr>
    </w:lvl>
    <w:lvl w:ilvl="1" w:tplc="CDE6AA62">
      <w:start w:val="1"/>
      <w:numFmt w:val="decimal"/>
      <w:lvlText w:val="%2."/>
      <w:lvlJc w:val="left"/>
      <w:pPr>
        <w:tabs>
          <w:tab w:val="num" w:pos="1440"/>
        </w:tabs>
        <w:ind w:left="1440" w:hanging="360"/>
      </w:pPr>
    </w:lvl>
    <w:lvl w:ilvl="2" w:tplc="045CAEB4">
      <w:start w:val="1"/>
      <w:numFmt w:val="decimal"/>
      <w:lvlText w:val="%3."/>
      <w:lvlJc w:val="left"/>
      <w:pPr>
        <w:tabs>
          <w:tab w:val="num" w:pos="2160"/>
        </w:tabs>
        <w:ind w:left="2160" w:hanging="360"/>
      </w:pPr>
    </w:lvl>
    <w:lvl w:ilvl="3" w:tplc="A6DCB3DA">
      <w:start w:val="1"/>
      <w:numFmt w:val="decimal"/>
      <w:lvlText w:val="%4."/>
      <w:lvlJc w:val="left"/>
      <w:pPr>
        <w:tabs>
          <w:tab w:val="num" w:pos="2880"/>
        </w:tabs>
        <w:ind w:left="2880" w:hanging="360"/>
      </w:pPr>
    </w:lvl>
    <w:lvl w:ilvl="4" w:tplc="6854EC76">
      <w:start w:val="1"/>
      <w:numFmt w:val="decimal"/>
      <w:lvlText w:val="%5."/>
      <w:lvlJc w:val="left"/>
      <w:pPr>
        <w:tabs>
          <w:tab w:val="num" w:pos="3600"/>
        </w:tabs>
        <w:ind w:left="3600" w:hanging="360"/>
      </w:pPr>
    </w:lvl>
    <w:lvl w:ilvl="5" w:tplc="15FE352A">
      <w:start w:val="1"/>
      <w:numFmt w:val="decimal"/>
      <w:lvlText w:val="%6."/>
      <w:lvlJc w:val="left"/>
      <w:pPr>
        <w:tabs>
          <w:tab w:val="num" w:pos="4320"/>
        </w:tabs>
        <w:ind w:left="4320" w:hanging="360"/>
      </w:pPr>
    </w:lvl>
    <w:lvl w:ilvl="6" w:tplc="E34A54B8">
      <w:start w:val="1"/>
      <w:numFmt w:val="decimal"/>
      <w:lvlText w:val="%7."/>
      <w:lvlJc w:val="left"/>
      <w:pPr>
        <w:tabs>
          <w:tab w:val="num" w:pos="5040"/>
        </w:tabs>
        <w:ind w:left="5040" w:hanging="360"/>
      </w:pPr>
    </w:lvl>
    <w:lvl w:ilvl="7" w:tplc="7FB4AD2C">
      <w:start w:val="1"/>
      <w:numFmt w:val="decimal"/>
      <w:lvlText w:val="%8."/>
      <w:lvlJc w:val="left"/>
      <w:pPr>
        <w:tabs>
          <w:tab w:val="num" w:pos="5760"/>
        </w:tabs>
        <w:ind w:left="5760" w:hanging="360"/>
      </w:pPr>
    </w:lvl>
    <w:lvl w:ilvl="8" w:tplc="E306F414">
      <w:start w:val="1"/>
      <w:numFmt w:val="decimal"/>
      <w:lvlText w:val="%9."/>
      <w:lvlJc w:val="left"/>
      <w:pPr>
        <w:tabs>
          <w:tab w:val="num" w:pos="6480"/>
        </w:tabs>
        <w:ind w:left="6480" w:hanging="360"/>
      </w:pPr>
    </w:lvl>
  </w:abstractNum>
  <w:abstractNum w:abstractNumId="4">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0F21F2D"/>
    <w:multiLevelType w:val="hybridMultilevel"/>
    <w:tmpl w:val="54EAE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A186F65"/>
    <w:multiLevelType w:val="hybridMultilevel"/>
    <w:tmpl w:val="742C3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7">
    <w:nsid w:val="7FA5429C"/>
    <w:multiLevelType w:val="hybridMultilevel"/>
    <w:tmpl w:val="5E706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3"/>
  </w:num>
  <w:num w:numId="5">
    <w:abstractNumId w:val="17"/>
  </w:num>
  <w:num w:numId="6">
    <w:abstractNumId w:val="5"/>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6"/>
  </w:num>
  <w:num w:numId="15">
    <w:abstractNumId w:val="26"/>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4"/>
  </w:num>
  <w:num w:numId="25">
    <w:abstractNumId w:val="4"/>
  </w:num>
  <w:num w:numId="26">
    <w:abstractNumId w:val="4"/>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4"/>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27"/>
  </w:num>
  <w:num w:numId="47">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60762"/>
    <w:rsid w:val="000005D3"/>
    <w:rsid w:val="000336D8"/>
    <w:rsid w:val="0004700E"/>
    <w:rsid w:val="0006526F"/>
    <w:rsid w:val="00070C13"/>
    <w:rsid w:val="00075C01"/>
    <w:rsid w:val="00084F33"/>
    <w:rsid w:val="000A565A"/>
    <w:rsid w:val="000A77A7"/>
    <w:rsid w:val="000B737A"/>
    <w:rsid w:val="000C1B3E"/>
    <w:rsid w:val="000D0F44"/>
    <w:rsid w:val="00102FD5"/>
    <w:rsid w:val="001169ED"/>
    <w:rsid w:val="00121551"/>
    <w:rsid w:val="001417C7"/>
    <w:rsid w:val="00143D11"/>
    <w:rsid w:val="0016016A"/>
    <w:rsid w:val="00177F4D"/>
    <w:rsid w:val="00180DDA"/>
    <w:rsid w:val="001B2A2D"/>
    <w:rsid w:val="001B737D"/>
    <w:rsid w:val="001C44A3"/>
    <w:rsid w:val="001C70D1"/>
    <w:rsid w:val="001F528A"/>
    <w:rsid w:val="001F704E"/>
    <w:rsid w:val="00210AA5"/>
    <w:rsid w:val="002125B0"/>
    <w:rsid w:val="00243228"/>
    <w:rsid w:val="00246402"/>
    <w:rsid w:val="00251483"/>
    <w:rsid w:val="00255CAA"/>
    <w:rsid w:val="00264305"/>
    <w:rsid w:val="002A0346"/>
    <w:rsid w:val="002A4487"/>
    <w:rsid w:val="002D3E8B"/>
    <w:rsid w:val="002D4575"/>
    <w:rsid w:val="002D5C0C"/>
    <w:rsid w:val="002E6B74"/>
    <w:rsid w:val="003043EF"/>
    <w:rsid w:val="0035267E"/>
    <w:rsid w:val="00356CD0"/>
    <w:rsid w:val="00360762"/>
    <w:rsid w:val="00362CD9"/>
    <w:rsid w:val="00380DAF"/>
    <w:rsid w:val="003B28F5"/>
    <w:rsid w:val="003B7B7D"/>
    <w:rsid w:val="003C7A2A"/>
    <w:rsid w:val="003D69D0"/>
    <w:rsid w:val="003F2918"/>
    <w:rsid w:val="003F29C9"/>
    <w:rsid w:val="003F430E"/>
    <w:rsid w:val="00426C3F"/>
    <w:rsid w:val="004661AD"/>
    <w:rsid w:val="00492477"/>
    <w:rsid w:val="004B26C1"/>
    <w:rsid w:val="004C210D"/>
    <w:rsid w:val="004C57A1"/>
    <w:rsid w:val="004D1D85"/>
    <w:rsid w:val="004D3C3A"/>
    <w:rsid w:val="004E307B"/>
    <w:rsid w:val="004E3635"/>
    <w:rsid w:val="005107EB"/>
    <w:rsid w:val="00521345"/>
    <w:rsid w:val="00526DF0"/>
    <w:rsid w:val="00545CC4"/>
    <w:rsid w:val="00551FFF"/>
    <w:rsid w:val="005607A2"/>
    <w:rsid w:val="0057198B"/>
    <w:rsid w:val="0057702E"/>
    <w:rsid w:val="005825AC"/>
    <w:rsid w:val="00597F15"/>
    <w:rsid w:val="005B32A3"/>
    <w:rsid w:val="005C566C"/>
    <w:rsid w:val="005C7E69"/>
    <w:rsid w:val="005E262D"/>
    <w:rsid w:val="005F7E20"/>
    <w:rsid w:val="0062367C"/>
    <w:rsid w:val="00626694"/>
    <w:rsid w:val="00630309"/>
    <w:rsid w:val="006652C3"/>
    <w:rsid w:val="00691FD0"/>
    <w:rsid w:val="006A0ABE"/>
    <w:rsid w:val="006A5DFE"/>
    <w:rsid w:val="006B5404"/>
    <w:rsid w:val="006C5948"/>
    <w:rsid w:val="006F2A74"/>
    <w:rsid w:val="007118F5"/>
    <w:rsid w:val="00712AA4"/>
    <w:rsid w:val="00721AA1"/>
    <w:rsid w:val="007547F8"/>
    <w:rsid w:val="007625E1"/>
    <w:rsid w:val="00765622"/>
    <w:rsid w:val="00770B6C"/>
    <w:rsid w:val="00783FEA"/>
    <w:rsid w:val="00790BBE"/>
    <w:rsid w:val="007937B6"/>
    <w:rsid w:val="008070F7"/>
    <w:rsid w:val="0082480E"/>
    <w:rsid w:val="00847B1D"/>
    <w:rsid w:val="00851373"/>
    <w:rsid w:val="00851BA6"/>
    <w:rsid w:val="0085654D"/>
    <w:rsid w:val="00857450"/>
    <w:rsid w:val="00861160"/>
    <w:rsid w:val="008A4653"/>
    <w:rsid w:val="008A50CC"/>
    <w:rsid w:val="008C6B7A"/>
    <w:rsid w:val="008D1694"/>
    <w:rsid w:val="008D79CB"/>
    <w:rsid w:val="008F07BC"/>
    <w:rsid w:val="009030E3"/>
    <w:rsid w:val="0092692B"/>
    <w:rsid w:val="00943E9C"/>
    <w:rsid w:val="00953F4D"/>
    <w:rsid w:val="00960BB8"/>
    <w:rsid w:val="00964F5C"/>
    <w:rsid w:val="009B2277"/>
    <w:rsid w:val="009D2729"/>
    <w:rsid w:val="00A0389B"/>
    <w:rsid w:val="00A22812"/>
    <w:rsid w:val="00A37A82"/>
    <w:rsid w:val="00A446C9"/>
    <w:rsid w:val="00A62F54"/>
    <w:rsid w:val="00A635D6"/>
    <w:rsid w:val="00A6771C"/>
    <w:rsid w:val="00A74025"/>
    <w:rsid w:val="00A8553A"/>
    <w:rsid w:val="00A93AED"/>
    <w:rsid w:val="00AA2811"/>
    <w:rsid w:val="00B226F2"/>
    <w:rsid w:val="00B274DF"/>
    <w:rsid w:val="00B356C1"/>
    <w:rsid w:val="00B56BDF"/>
    <w:rsid w:val="00B56C58"/>
    <w:rsid w:val="00B85063"/>
    <w:rsid w:val="00B85CD6"/>
    <w:rsid w:val="00B90A27"/>
    <w:rsid w:val="00B93C88"/>
    <w:rsid w:val="00B9554D"/>
    <w:rsid w:val="00BB2B9F"/>
    <w:rsid w:val="00BD3CB8"/>
    <w:rsid w:val="00BD4E6F"/>
    <w:rsid w:val="00BF4DCE"/>
    <w:rsid w:val="00BF694A"/>
    <w:rsid w:val="00C05CE5"/>
    <w:rsid w:val="00C16591"/>
    <w:rsid w:val="00C6171E"/>
    <w:rsid w:val="00C62570"/>
    <w:rsid w:val="00C87C6D"/>
    <w:rsid w:val="00CA6F2C"/>
    <w:rsid w:val="00CD022F"/>
    <w:rsid w:val="00CD2A77"/>
    <w:rsid w:val="00CD7BEC"/>
    <w:rsid w:val="00CE52E3"/>
    <w:rsid w:val="00CF1871"/>
    <w:rsid w:val="00D103A9"/>
    <w:rsid w:val="00D1133E"/>
    <w:rsid w:val="00D11E10"/>
    <w:rsid w:val="00D17A34"/>
    <w:rsid w:val="00D250AF"/>
    <w:rsid w:val="00D26628"/>
    <w:rsid w:val="00D332B3"/>
    <w:rsid w:val="00D55207"/>
    <w:rsid w:val="00D5642C"/>
    <w:rsid w:val="00D92B45"/>
    <w:rsid w:val="00D95962"/>
    <w:rsid w:val="00DA7AC3"/>
    <w:rsid w:val="00DC26E4"/>
    <w:rsid w:val="00DC389B"/>
    <w:rsid w:val="00DE1FFE"/>
    <w:rsid w:val="00DE2FEE"/>
    <w:rsid w:val="00E00BE9"/>
    <w:rsid w:val="00E10F37"/>
    <w:rsid w:val="00E22A11"/>
    <w:rsid w:val="00E55927"/>
    <w:rsid w:val="00E65763"/>
    <w:rsid w:val="00E912A6"/>
    <w:rsid w:val="00EA4844"/>
    <w:rsid w:val="00EA4D9C"/>
    <w:rsid w:val="00EB681C"/>
    <w:rsid w:val="00EB75EE"/>
    <w:rsid w:val="00EC4B3B"/>
    <w:rsid w:val="00EC68A1"/>
    <w:rsid w:val="00EE4C1D"/>
    <w:rsid w:val="00EF3685"/>
    <w:rsid w:val="00F00804"/>
    <w:rsid w:val="00F04F7E"/>
    <w:rsid w:val="00F11ECA"/>
    <w:rsid w:val="00F15984"/>
    <w:rsid w:val="00F159EB"/>
    <w:rsid w:val="00F25BF4"/>
    <w:rsid w:val="00F267DB"/>
    <w:rsid w:val="00F412B9"/>
    <w:rsid w:val="00F46F6F"/>
    <w:rsid w:val="00F60608"/>
    <w:rsid w:val="00F62217"/>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57702E"/>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A22812"/>
    <w:rPr>
      <w:rFonts w:ascii="Tahoma" w:hAnsi="Tahoma" w:cs="Tahoma"/>
      <w:sz w:val="16"/>
      <w:szCs w:val="16"/>
    </w:rPr>
  </w:style>
  <w:style w:type="character" w:customStyle="1" w:styleId="BalloonTextChar">
    <w:name w:val="Balloon Text Char"/>
    <w:basedOn w:val="DefaultParagraphFont"/>
    <w:link w:val="BalloonText"/>
    <w:uiPriority w:val="99"/>
    <w:semiHidden/>
    <w:rsid w:val="00A22812"/>
    <w:rPr>
      <w:rFonts w:ascii="Tahoma" w:hAnsi="Tahoma" w:cs="Tahoma"/>
      <w:sz w:val="16"/>
      <w:szCs w:val="16"/>
    </w:rPr>
  </w:style>
  <w:style w:type="paragraph" w:styleId="ListParagraph">
    <w:name w:val="List Paragraph"/>
    <w:basedOn w:val="Normal"/>
    <w:uiPriority w:val="34"/>
    <w:qFormat/>
    <w:rsid w:val="00F11ECA"/>
    <w:pPr>
      <w:ind w:left="720"/>
      <w:contextualSpacing/>
    </w:pPr>
    <w:rPr>
      <w:rFonts w:ascii="Times New Roman" w:eastAsia="Times New Roman" w:hAnsi="Times New Roman" w:cs="Times New Roman"/>
      <w:sz w:val="24"/>
      <w:szCs w:val="24"/>
    </w:rPr>
  </w:style>
  <w:style w:type="paragraph" w:customStyle="1" w:styleId="Default">
    <w:name w:val="Default"/>
    <w:rsid w:val="00F11ECA"/>
    <w:pPr>
      <w:autoSpaceDE w:val="0"/>
      <w:autoSpaceDN w:val="0"/>
      <w:adjustRightInd w:val="0"/>
    </w:pPr>
    <w:rPr>
      <w:rFonts w:ascii="Arial" w:hAnsi="Arial" w:cs="Arial"/>
      <w:color w:val="000000"/>
      <w:sz w:val="24"/>
      <w:szCs w:val="24"/>
      <w:lang w:eastAsia="en-US"/>
    </w:rPr>
  </w:style>
  <w:style w:type="paragraph" w:styleId="PlainText">
    <w:name w:val="Plain Text"/>
    <w:basedOn w:val="Normal"/>
    <w:link w:val="PlainTextChar"/>
    <w:uiPriority w:val="99"/>
    <w:unhideWhenUsed/>
    <w:rsid w:val="00A37A82"/>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A37A82"/>
    <w:rPr>
      <w:rFonts w:ascii="Consolas" w:eastAsiaTheme="minorHAnsi" w:hAnsi="Consolas" w:cstheme="minorBidi"/>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57702E"/>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A22812"/>
    <w:rPr>
      <w:rFonts w:ascii="Tahoma" w:hAnsi="Tahoma" w:cs="Tahoma"/>
      <w:sz w:val="16"/>
      <w:szCs w:val="16"/>
    </w:rPr>
  </w:style>
  <w:style w:type="character" w:customStyle="1" w:styleId="BalloonTextChar">
    <w:name w:val="Balloon Text Char"/>
    <w:basedOn w:val="DefaultParagraphFont"/>
    <w:link w:val="BalloonText"/>
    <w:uiPriority w:val="99"/>
    <w:semiHidden/>
    <w:rsid w:val="00A228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773744">
      <w:bodyDiv w:val="1"/>
      <w:marLeft w:val="0"/>
      <w:marRight w:val="0"/>
      <w:marTop w:val="0"/>
      <w:marBottom w:val="0"/>
      <w:divBdr>
        <w:top w:val="none" w:sz="0" w:space="0" w:color="auto"/>
        <w:left w:val="none" w:sz="0" w:space="0" w:color="auto"/>
        <w:bottom w:val="none" w:sz="0" w:space="0" w:color="auto"/>
        <w:right w:val="none" w:sz="0" w:space="0" w:color="auto"/>
      </w:divBdr>
    </w:div>
    <w:div w:id="1021857358">
      <w:bodyDiv w:val="1"/>
      <w:marLeft w:val="0"/>
      <w:marRight w:val="0"/>
      <w:marTop w:val="0"/>
      <w:marBottom w:val="0"/>
      <w:divBdr>
        <w:top w:val="none" w:sz="0" w:space="0" w:color="auto"/>
        <w:left w:val="none" w:sz="0" w:space="0" w:color="auto"/>
        <w:bottom w:val="none" w:sz="0" w:space="0" w:color="auto"/>
        <w:right w:val="none" w:sz="0" w:space="0" w:color="auto"/>
      </w:divBdr>
    </w:div>
    <w:div w:id="1031490070">
      <w:bodyDiv w:val="1"/>
      <w:marLeft w:val="0"/>
      <w:marRight w:val="0"/>
      <w:marTop w:val="0"/>
      <w:marBottom w:val="0"/>
      <w:divBdr>
        <w:top w:val="none" w:sz="0" w:space="0" w:color="auto"/>
        <w:left w:val="none" w:sz="0" w:space="0" w:color="auto"/>
        <w:bottom w:val="none" w:sz="0" w:space="0" w:color="auto"/>
        <w:right w:val="none" w:sz="0" w:space="0" w:color="auto"/>
      </w:divBdr>
    </w:div>
    <w:div w:id="1149638583">
      <w:bodyDiv w:val="1"/>
      <w:marLeft w:val="0"/>
      <w:marRight w:val="0"/>
      <w:marTop w:val="0"/>
      <w:marBottom w:val="0"/>
      <w:divBdr>
        <w:top w:val="none" w:sz="0" w:space="0" w:color="auto"/>
        <w:left w:val="none" w:sz="0" w:space="0" w:color="auto"/>
        <w:bottom w:val="none" w:sz="0" w:space="0" w:color="auto"/>
        <w:right w:val="none" w:sz="0" w:space="0" w:color="auto"/>
      </w:divBdr>
    </w:div>
    <w:div w:id="1282146896">
      <w:bodyDiv w:val="1"/>
      <w:marLeft w:val="0"/>
      <w:marRight w:val="0"/>
      <w:marTop w:val="0"/>
      <w:marBottom w:val="0"/>
      <w:divBdr>
        <w:top w:val="none" w:sz="0" w:space="0" w:color="auto"/>
        <w:left w:val="none" w:sz="0" w:space="0" w:color="auto"/>
        <w:bottom w:val="none" w:sz="0" w:space="0" w:color="auto"/>
        <w:right w:val="none" w:sz="0" w:space="0" w:color="auto"/>
      </w:divBdr>
    </w:div>
    <w:div w:id="1532067315">
      <w:bodyDiv w:val="1"/>
      <w:marLeft w:val="0"/>
      <w:marRight w:val="0"/>
      <w:marTop w:val="0"/>
      <w:marBottom w:val="0"/>
      <w:divBdr>
        <w:top w:val="none" w:sz="0" w:space="0" w:color="auto"/>
        <w:left w:val="none" w:sz="0" w:space="0" w:color="auto"/>
        <w:bottom w:val="none" w:sz="0" w:space="0" w:color="auto"/>
        <w:right w:val="none" w:sz="0" w:space="0" w:color="auto"/>
      </w:divBdr>
    </w:div>
    <w:div w:id="1554736654">
      <w:bodyDiv w:val="1"/>
      <w:marLeft w:val="0"/>
      <w:marRight w:val="0"/>
      <w:marTop w:val="0"/>
      <w:marBottom w:val="0"/>
      <w:divBdr>
        <w:top w:val="none" w:sz="0" w:space="0" w:color="auto"/>
        <w:left w:val="none" w:sz="0" w:space="0" w:color="auto"/>
        <w:bottom w:val="none" w:sz="0" w:space="0" w:color="auto"/>
        <w:right w:val="none" w:sz="0" w:space="0" w:color="auto"/>
      </w:divBdr>
    </w:div>
    <w:div w:id="1910730503">
      <w:bodyDiv w:val="1"/>
      <w:marLeft w:val="0"/>
      <w:marRight w:val="0"/>
      <w:marTop w:val="0"/>
      <w:marBottom w:val="0"/>
      <w:divBdr>
        <w:top w:val="none" w:sz="0" w:space="0" w:color="auto"/>
        <w:left w:val="none" w:sz="0" w:space="0" w:color="auto"/>
        <w:bottom w:val="none" w:sz="0" w:space="0" w:color="auto"/>
        <w:right w:val="none" w:sz="0" w:space="0" w:color="auto"/>
      </w:divBdr>
    </w:div>
    <w:div w:id="1961766792">
      <w:bodyDiv w:val="1"/>
      <w:marLeft w:val="0"/>
      <w:marRight w:val="0"/>
      <w:marTop w:val="0"/>
      <w:marBottom w:val="0"/>
      <w:divBdr>
        <w:top w:val="none" w:sz="0" w:space="0" w:color="auto"/>
        <w:left w:val="none" w:sz="0" w:space="0" w:color="auto"/>
        <w:bottom w:val="none" w:sz="0" w:space="0" w:color="auto"/>
        <w:right w:val="none" w:sz="0" w:space="0" w:color="auto"/>
      </w:divBdr>
    </w:div>
    <w:div w:id="205161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Hogendoorn, Rene</dc:creator>
  <cp:lastModifiedBy>Seamus Doyle</cp:lastModifiedBy>
  <cp:revision>2</cp:revision>
  <dcterms:created xsi:type="dcterms:W3CDTF">2013-10-20T21:07:00Z</dcterms:created>
  <dcterms:modified xsi:type="dcterms:W3CDTF">2013-10-20T21:07:00Z</dcterms:modified>
</cp:coreProperties>
</file>